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3C5" w:rsidRPr="00C14A52" w:rsidRDefault="004303C5" w:rsidP="004303C5">
      <w:pPr>
        <w:bidi/>
        <w:spacing w:after="0" w:line="240" w:lineRule="auto"/>
        <w:rPr>
          <w:rFonts w:ascii="Arial" w:eastAsia="Times New Roman" w:hAnsi="Arial" w:cs="Arial"/>
          <w:b/>
          <w:bCs/>
          <w:color w:val="000000"/>
          <w:sz w:val="24"/>
          <w:szCs w:val="24"/>
        </w:rPr>
      </w:pPr>
      <w:r w:rsidRPr="00C14A52">
        <w:rPr>
          <w:rStyle w:val="apple-converted-space"/>
          <w:rFonts w:ascii="Arial" w:hAnsi="Arial" w:cs="Arial"/>
          <w:color w:val="000000"/>
          <w:sz w:val="24"/>
          <w:szCs w:val="24"/>
        </w:rPr>
        <w:t> </w:t>
      </w:r>
      <w:hyperlink r:id="rId4" w:history="1">
        <w:r w:rsidRPr="00C14A52">
          <w:rPr>
            <w:rStyle w:val="sefername"/>
            <w:rFonts w:ascii="Arial" w:hAnsi="Arial" w:cs="Arial"/>
            <w:b/>
            <w:bCs/>
            <w:color w:val="834323"/>
            <w:sz w:val="24"/>
            <w:szCs w:val="24"/>
            <w:u w:val="single"/>
            <w:rtl/>
          </w:rPr>
          <w:t>משנה תורה</w:t>
        </w:r>
      </w:hyperlink>
      <w:r w:rsidRPr="00C14A52">
        <w:rPr>
          <w:sz w:val="24"/>
          <w:szCs w:val="24"/>
        </w:rPr>
        <w:t xml:space="preserve">    </w:t>
      </w:r>
    </w:p>
    <w:p w:rsidR="004303C5" w:rsidRPr="00C14A52" w:rsidRDefault="004303C5" w:rsidP="004303C5">
      <w:pPr>
        <w:bidi/>
        <w:spacing w:after="0" w:line="240" w:lineRule="auto"/>
        <w:rPr>
          <w:rFonts w:ascii="Arial" w:eastAsia="Times New Roman" w:hAnsi="Arial" w:cs="Arial" w:hint="cs"/>
          <w:b/>
          <w:bCs/>
          <w:color w:val="000000"/>
          <w:sz w:val="24"/>
          <w:szCs w:val="24"/>
          <w:rtl/>
        </w:rPr>
      </w:pPr>
      <w:r w:rsidRPr="00C14A52">
        <w:rPr>
          <w:rFonts w:ascii="Arial" w:eastAsia="Times New Roman" w:hAnsi="Arial" w:cs="Arial" w:hint="cs"/>
          <w:b/>
          <w:bCs/>
          <w:color w:val="000000"/>
          <w:sz w:val="24"/>
          <w:szCs w:val="24"/>
          <w:rtl/>
        </w:rPr>
        <w:t>הלכות</w:t>
      </w:r>
      <w:r w:rsidRPr="00C14A52">
        <w:rPr>
          <w:rFonts w:ascii="Arial" w:eastAsia="Times New Roman" w:hAnsi="Arial" w:cs="Arial"/>
          <w:b/>
          <w:bCs/>
          <w:color w:val="000000"/>
          <w:sz w:val="24"/>
          <w:szCs w:val="24"/>
          <w:rtl/>
        </w:rPr>
        <w:t xml:space="preserve"> </w:t>
      </w:r>
      <w:r w:rsidRPr="00C14A52">
        <w:rPr>
          <w:rFonts w:ascii="Arial" w:eastAsia="Times New Roman" w:hAnsi="Arial" w:cs="Arial" w:hint="cs"/>
          <w:b/>
          <w:bCs/>
          <w:color w:val="000000"/>
          <w:sz w:val="24"/>
          <w:szCs w:val="24"/>
          <w:rtl/>
        </w:rPr>
        <w:t>עדות</w:t>
      </w:r>
      <w:r w:rsidRPr="00C14A52">
        <w:rPr>
          <w:rFonts w:ascii="Arial" w:eastAsia="Times New Roman" w:hAnsi="Arial" w:cs="Arial"/>
          <w:b/>
          <w:bCs/>
          <w:color w:val="000000"/>
          <w:sz w:val="24"/>
          <w:szCs w:val="24"/>
          <w:rtl/>
        </w:rPr>
        <w:t xml:space="preserve"> </w:t>
      </w:r>
      <w:r w:rsidRPr="00C14A52">
        <w:rPr>
          <w:rFonts w:ascii="Arial" w:eastAsia="Times New Roman" w:hAnsi="Arial" w:cs="Arial" w:hint="cs"/>
          <w:b/>
          <w:bCs/>
          <w:color w:val="000000"/>
          <w:sz w:val="24"/>
          <w:szCs w:val="24"/>
          <w:rtl/>
        </w:rPr>
        <w:t>פ</w:t>
      </w:r>
      <w:r w:rsidRPr="00C14A52">
        <w:rPr>
          <w:rFonts w:ascii="Arial" w:eastAsia="Times New Roman" w:hAnsi="Arial" w:cs="Arial"/>
          <w:b/>
          <w:bCs/>
          <w:color w:val="000000"/>
          <w:sz w:val="24"/>
          <w:szCs w:val="24"/>
        </w:rPr>
        <w:t>”</w:t>
      </w:r>
      <w:r w:rsidRPr="00C14A52">
        <w:rPr>
          <w:rFonts w:ascii="Arial" w:eastAsia="Times New Roman" w:hAnsi="Arial" w:cs="Arial" w:hint="cs"/>
          <w:b/>
          <w:bCs/>
          <w:color w:val="000000"/>
          <w:sz w:val="24"/>
          <w:szCs w:val="24"/>
          <w:rtl/>
        </w:rPr>
        <w:t>כ</w:t>
      </w:r>
    </w:p>
    <w:p w:rsidR="004303C5" w:rsidRPr="00C14A52" w:rsidRDefault="004303C5" w:rsidP="004303C5">
      <w:pPr>
        <w:bidi/>
        <w:spacing w:after="0" w:line="240" w:lineRule="auto"/>
        <w:rPr>
          <w:rFonts w:ascii="Arial" w:eastAsia="Times New Roman" w:hAnsi="Arial" w:cs="Arial" w:hint="cs"/>
          <w:b/>
          <w:bCs/>
          <w:color w:val="000000"/>
          <w:sz w:val="24"/>
          <w:szCs w:val="24"/>
          <w:rtl/>
        </w:rPr>
      </w:pPr>
    </w:p>
    <w:p w:rsidR="00C14A52" w:rsidRPr="00C14A52" w:rsidRDefault="004303C5" w:rsidP="004303C5">
      <w:pPr>
        <w:bidi/>
        <w:spacing w:after="0" w:line="240" w:lineRule="auto"/>
        <w:rPr>
          <w:rFonts w:ascii="Arial" w:eastAsia="Times New Roman" w:hAnsi="Arial" w:cs="Arial" w:hint="cs"/>
          <w:b/>
          <w:bCs/>
          <w:color w:val="000000"/>
          <w:rtl/>
        </w:rPr>
      </w:pPr>
      <w:r w:rsidRPr="00C14A52">
        <w:rPr>
          <w:rFonts w:ascii="Arial" w:eastAsia="Times New Roman" w:hAnsi="Arial" w:cs="Arial" w:hint="cs"/>
          <w:b/>
          <w:bCs/>
          <w:color w:val="000000"/>
          <w:rtl/>
        </w:rPr>
        <w:t>הלכה ב</w:t>
      </w:r>
    </w:p>
    <w:p w:rsidR="004303C5" w:rsidRPr="00C14A52" w:rsidRDefault="004303C5" w:rsidP="00C14A52">
      <w:pPr>
        <w:bidi/>
        <w:spacing w:after="0" w:line="240" w:lineRule="auto"/>
        <w:rPr>
          <w:rFonts w:ascii="Arial" w:eastAsia="Times New Roman" w:hAnsi="Arial" w:cs="Arial"/>
          <w:b/>
          <w:bCs/>
          <w:color w:val="000000"/>
        </w:rPr>
      </w:pPr>
      <w:r w:rsidRPr="004303C5">
        <w:rPr>
          <w:rFonts w:ascii="Arial" w:eastAsia="Times New Roman" w:hAnsi="Arial" w:cs="Arial"/>
          <w:b/>
          <w:bCs/>
          <w:color w:val="000000"/>
          <w:rtl/>
        </w:rPr>
        <w:t>נהרג זה שהעידו עליו ואחר כך הוזמו אינן נהרגין מן הדין. שנאמר כאשר זמם לעשות ועדיין לא עשה ודבר זה מפי הקבלה.</w:t>
      </w:r>
    </w:p>
    <w:p w:rsidR="004303C5" w:rsidRPr="004303C5" w:rsidRDefault="004303C5" w:rsidP="004303C5">
      <w:pPr>
        <w:bidi/>
        <w:spacing w:after="0" w:line="240" w:lineRule="auto"/>
        <w:rPr>
          <w:rFonts w:ascii="Times New Roman" w:eastAsia="Times New Roman" w:hAnsi="Times New Roman" w:cs="Times New Roman"/>
        </w:rPr>
      </w:pPr>
      <w:r w:rsidRPr="004303C5">
        <w:rPr>
          <w:rFonts w:ascii="Arial" w:eastAsia="Times New Roman" w:hAnsi="Arial" w:cs="Arial"/>
          <w:b/>
          <w:bCs/>
          <w:color w:val="000000"/>
          <w:rtl/>
        </w:rPr>
        <w:t>אבל אם לקה זה שהעידו עליו לוקין. וכן אם יצא הממון מיד זה ליד זה בעדותן חוזר לבעליו ומשלמין לו</w:t>
      </w:r>
      <w:r w:rsidRPr="004303C5">
        <w:rPr>
          <w:rFonts w:ascii="Arial" w:eastAsia="Times New Roman" w:hAnsi="Arial" w:cs="Arial"/>
          <w:b/>
          <w:bCs/>
          <w:color w:val="000000"/>
        </w:rPr>
        <w:t>:</w:t>
      </w:r>
    </w:p>
    <w:p w:rsidR="004303C5" w:rsidRPr="00C14A52" w:rsidRDefault="004303C5" w:rsidP="004303C5">
      <w:pPr>
        <w:bidi/>
        <w:spacing w:after="0" w:line="240" w:lineRule="auto"/>
        <w:rPr>
          <w:rFonts w:ascii="Arial" w:eastAsia="Times New Roman" w:hAnsi="Arial" w:cs="Arial" w:hint="cs"/>
          <w:color w:val="000000"/>
          <w:rtl/>
        </w:rPr>
      </w:pPr>
      <w:r w:rsidRPr="004303C5">
        <w:rPr>
          <w:rFonts w:ascii="Arial" w:eastAsia="Times New Roman" w:hAnsi="Arial" w:cs="Arial"/>
          <w:color w:val="834323"/>
          <w:rtl/>
        </w:rPr>
        <w:t>השגות הראב</w:t>
      </w:r>
      <w:r w:rsidRPr="00C14A52">
        <w:rPr>
          <w:rFonts w:ascii="Arial" w:eastAsia="Times New Roman" w:hAnsi="Arial" w:cs="Arial"/>
          <w:color w:val="834323"/>
        </w:rPr>
        <w:t>”</w:t>
      </w:r>
      <w:r w:rsidRPr="004303C5">
        <w:rPr>
          <w:rFonts w:ascii="Arial" w:eastAsia="Times New Roman" w:hAnsi="Arial" w:cs="Arial"/>
          <w:color w:val="834323"/>
          <w:rtl/>
        </w:rPr>
        <w:t>ד</w:t>
      </w:r>
      <w:r w:rsidRPr="004303C5">
        <w:rPr>
          <w:rFonts w:ascii="Arial" w:eastAsia="Times New Roman" w:hAnsi="Arial" w:cs="Arial"/>
          <w:color w:val="834323"/>
        </w:rPr>
        <w:t>   </w:t>
      </w:r>
      <w:r w:rsidRPr="00C14A52">
        <w:rPr>
          <w:rFonts w:ascii="Arial" w:eastAsia="Times New Roman" w:hAnsi="Arial" w:cs="Arial"/>
          <w:b/>
          <w:bCs/>
          <w:color w:val="000000"/>
          <w:rtl/>
        </w:rPr>
        <w:t>נהרג זה שהעידו עליו וכו</w:t>
      </w:r>
      <w:r w:rsidRPr="00C14A52">
        <w:rPr>
          <w:rFonts w:ascii="Arial" w:eastAsia="Times New Roman" w:hAnsi="Arial" w:cs="Arial"/>
          <w:b/>
          <w:bCs/>
          <w:color w:val="000000"/>
        </w:rPr>
        <w:t xml:space="preserve"> . </w:t>
      </w:r>
      <w:r w:rsidRPr="004303C5">
        <w:rPr>
          <w:rFonts w:ascii="Arial" w:eastAsia="Times New Roman" w:hAnsi="Arial" w:cs="Arial"/>
          <w:color w:val="000000"/>
          <w:rtl/>
        </w:rPr>
        <w:t>א"א שבוש הוא זה</w:t>
      </w:r>
      <w:r w:rsidRPr="004303C5">
        <w:rPr>
          <w:rFonts w:ascii="Arial" w:eastAsia="Times New Roman" w:hAnsi="Arial" w:cs="Arial"/>
          <w:color w:val="000000"/>
        </w:rPr>
        <w:t>:</w:t>
      </w:r>
    </w:p>
    <w:p w:rsidR="004303C5" w:rsidRPr="004303C5" w:rsidRDefault="004303C5" w:rsidP="004303C5">
      <w:pPr>
        <w:bidi/>
        <w:spacing w:after="0" w:line="240" w:lineRule="auto"/>
        <w:rPr>
          <w:rFonts w:ascii="Arial" w:eastAsia="Times New Roman" w:hAnsi="Arial" w:cs="Arial" w:hint="cs"/>
          <w:color w:val="000000"/>
          <w:sz w:val="32"/>
          <w:szCs w:val="32"/>
          <w:rtl/>
        </w:rPr>
      </w:pPr>
    </w:p>
    <w:p w:rsidR="004303C5" w:rsidRPr="004303C5" w:rsidRDefault="004303C5" w:rsidP="004303C5">
      <w:pPr>
        <w:bidi/>
        <w:spacing w:after="0" w:line="240" w:lineRule="auto"/>
        <w:rPr>
          <w:rFonts w:ascii="Arial" w:eastAsia="Times New Roman" w:hAnsi="Arial" w:cs="Arial"/>
          <w:color w:val="000000"/>
          <w:sz w:val="20"/>
          <w:szCs w:val="20"/>
        </w:rPr>
      </w:pPr>
    </w:p>
    <w:p w:rsidR="004303C5" w:rsidRPr="004303C5" w:rsidRDefault="004303C5" w:rsidP="004303C5">
      <w:pPr>
        <w:bidi/>
        <w:rPr>
          <w:rFonts w:ascii="Arial" w:hAnsi="Arial" w:cs="Arial" w:hint="cs"/>
          <w:color w:val="000000"/>
          <w:sz w:val="16"/>
          <w:szCs w:val="16"/>
          <w:rtl/>
        </w:rPr>
      </w:pPr>
      <w:r w:rsidRPr="004303C5">
        <w:rPr>
          <w:rStyle w:val="five"/>
          <w:rFonts w:ascii="Arial" w:hAnsi="Arial" w:cs="Arial"/>
          <w:b/>
          <w:bCs/>
          <w:color w:val="000000"/>
          <w:sz w:val="16"/>
          <w:szCs w:val="16"/>
          <w:rtl/>
        </w:rPr>
        <w:t>אבל אם לקה זה שהעידו עליו לוקין וכן אם יצא הממון וכו</w:t>
      </w:r>
      <w:r w:rsidRPr="004303C5">
        <w:rPr>
          <w:rStyle w:val="five"/>
          <w:rFonts w:ascii="Arial" w:hAnsi="Arial" w:cs="Arial"/>
          <w:b/>
          <w:bCs/>
          <w:color w:val="000000"/>
          <w:sz w:val="16"/>
          <w:szCs w:val="16"/>
        </w:rPr>
        <w:t>'.</w:t>
      </w:r>
      <w:r w:rsidRPr="004303C5">
        <w:rPr>
          <w:rStyle w:val="apple-converted-space"/>
          <w:rFonts w:ascii="Arial" w:hAnsi="Arial" w:cs="Arial"/>
          <w:b/>
          <w:bCs/>
          <w:color w:val="000000"/>
          <w:sz w:val="16"/>
          <w:szCs w:val="16"/>
        </w:rPr>
        <w:t> </w:t>
      </w:r>
      <w:r w:rsidRPr="004303C5">
        <w:rPr>
          <w:rFonts w:ascii="Arial" w:hAnsi="Arial" w:cs="Arial"/>
          <w:color w:val="000000"/>
          <w:sz w:val="16"/>
          <w:szCs w:val="16"/>
          <w:rtl/>
        </w:rPr>
        <w:t>צריך לבקש טעם מאין לו לרבינו לחלק בין מיתה לממון ומלקות דלכאורה משמע דל"ש ממון או מלקות או מיתה בכולהו בעינן כאשר זמם ולא כאשר עשה ואף כי אפשר לחלק בין ממון למיתה דממון אפשר בחזרה וכיון שכך כך לי עשה כמו זמם וכן כתבו התוספות בריש ב"ק (דף ה':) ד"ה ועדים זוממים אהא דמני רבי חייא עדים זוממין בכ"ד אבות נזיקין וז"ל פי' ריב"א דאפילו שילם ע"פ עדים זוממין חייבין דלא שייך בממון כאשר זמם ולא כאשר עשה דאפשר בחזרה ור"י מפרש דלא צריך להאי טעמא דגבי ממון מחייבינן להו בק"ו דגבי ממון עונשין מן הדין והא דאמרינן במכות הרגו אין נהרגין דהיינו משום דהתם אין עונשין מן הדין עכ"ל. ועוד כתב שם מ"מ אין סברא לחלק בין מלקות למיתה וכ"כ רבינו ירוחם בנ"ב ח"ז בשם רש"י וכנראה שלזה כיון הראב"ד שכתב שיבוש הוא זה ואע"פ שתפס בנהרג זה שהעידו עליו תחלת הבבא נקט ומיהו רבינו ירוחם כתב שכדברי רבינו נראה עיקר.</w:t>
      </w:r>
    </w:p>
    <w:p w:rsidR="004303C5" w:rsidRDefault="004303C5" w:rsidP="004303C5">
      <w:pPr>
        <w:bidi/>
        <w:rPr>
          <w:rFonts w:ascii="Arial" w:hAnsi="Arial" w:cs="Arial" w:hint="cs"/>
          <w:color w:val="000000"/>
          <w:sz w:val="20"/>
          <w:szCs w:val="20"/>
          <w:rtl/>
        </w:rPr>
      </w:pPr>
      <w:r>
        <w:rPr>
          <w:rFonts w:ascii="Arial" w:hAnsi="Arial" w:cs="Arial"/>
          <w:color w:val="000000"/>
          <w:sz w:val="20"/>
          <w:szCs w:val="20"/>
          <w:rtl/>
        </w:rPr>
        <w:t xml:space="preserve"> ואפשר לתת טעם לדברי רבינו</w:t>
      </w:r>
      <w:r>
        <w:rPr>
          <w:rFonts w:ascii="Arial" w:hAnsi="Arial" w:cs="Arial" w:hint="cs"/>
          <w:color w:val="000000"/>
          <w:sz w:val="20"/>
          <w:szCs w:val="20"/>
          <w:rtl/>
        </w:rPr>
        <w:t>:</w:t>
      </w:r>
    </w:p>
    <w:p w:rsidR="004303C5" w:rsidRPr="004303C5" w:rsidRDefault="004303C5" w:rsidP="004303C5">
      <w:pPr>
        <w:bidi/>
        <w:rPr>
          <w:rFonts w:ascii="Arial" w:hAnsi="Arial" w:cs="Arial" w:hint="cs"/>
          <w:color w:val="000000"/>
          <w:sz w:val="24"/>
          <w:szCs w:val="24"/>
          <w:rtl/>
        </w:rPr>
      </w:pPr>
      <w:r w:rsidRPr="004303C5">
        <w:rPr>
          <w:rFonts w:ascii="Arial" w:hAnsi="Arial" w:cs="Arial" w:hint="cs"/>
          <w:color w:val="000000"/>
          <w:sz w:val="24"/>
          <w:szCs w:val="24"/>
          <w:rtl/>
        </w:rPr>
        <w:t xml:space="preserve">[א] </w:t>
      </w:r>
      <w:r w:rsidRPr="004303C5">
        <w:rPr>
          <w:rFonts w:ascii="Arial" w:hAnsi="Arial" w:cs="Arial"/>
          <w:color w:val="000000"/>
          <w:sz w:val="24"/>
          <w:szCs w:val="24"/>
          <w:rtl/>
        </w:rPr>
        <w:t>דלא אמרינן כאשר זמם ולא כאשר עשה אלא היכא דהרגו על פיהם</w:t>
      </w:r>
      <w:r>
        <w:rPr>
          <w:rFonts w:ascii="Arial" w:hAnsi="Arial" w:cs="Arial" w:hint="cs"/>
          <w:color w:val="000000"/>
          <w:sz w:val="24"/>
          <w:szCs w:val="24"/>
          <w:rtl/>
        </w:rPr>
        <w:t>,</w:t>
      </w:r>
      <w:r w:rsidRPr="004303C5">
        <w:rPr>
          <w:rFonts w:ascii="Arial" w:hAnsi="Arial" w:cs="Arial"/>
          <w:color w:val="000000"/>
          <w:sz w:val="24"/>
          <w:szCs w:val="24"/>
          <w:rtl/>
        </w:rPr>
        <w:t xml:space="preserve"> משום דגדול עונשם מנשוא אין ראוי לתת להם מיתת ב"ד שתכפר עליהם</w:t>
      </w:r>
      <w:r>
        <w:rPr>
          <w:rFonts w:ascii="Arial" w:hAnsi="Arial" w:cs="Arial" w:hint="cs"/>
          <w:color w:val="000000"/>
          <w:sz w:val="24"/>
          <w:szCs w:val="24"/>
          <w:rtl/>
        </w:rPr>
        <w:t>,</w:t>
      </w:r>
      <w:r w:rsidRPr="004303C5">
        <w:rPr>
          <w:rFonts w:ascii="Arial" w:hAnsi="Arial" w:cs="Arial"/>
          <w:color w:val="000000"/>
          <w:sz w:val="24"/>
          <w:szCs w:val="24"/>
          <w:rtl/>
        </w:rPr>
        <w:t xml:space="preserve"> אלא ראוי להניחם שיהיו נדונין אחר מיתה בעונשים נוראים</w:t>
      </w:r>
      <w:r>
        <w:rPr>
          <w:rFonts w:ascii="Arial" w:hAnsi="Arial" w:cs="Arial" w:hint="cs"/>
          <w:color w:val="000000"/>
          <w:sz w:val="24"/>
          <w:szCs w:val="24"/>
          <w:rtl/>
        </w:rPr>
        <w:t>.</w:t>
      </w:r>
      <w:r w:rsidRPr="004303C5">
        <w:rPr>
          <w:rFonts w:ascii="Arial" w:hAnsi="Arial" w:cs="Arial"/>
          <w:color w:val="000000"/>
          <w:sz w:val="24"/>
          <w:szCs w:val="24"/>
          <w:rtl/>
        </w:rPr>
        <w:t xml:space="preserve"> דוגמא לדבר נותן כל זרעו למולך</w:t>
      </w:r>
      <w:r>
        <w:rPr>
          <w:rFonts w:ascii="Arial" w:hAnsi="Arial" w:cs="Arial" w:hint="cs"/>
          <w:color w:val="000000"/>
          <w:sz w:val="24"/>
          <w:szCs w:val="24"/>
          <w:rtl/>
        </w:rPr>
        <w:t>,</w:t>
      </w:r>
      <w:r w:rsidRPr="004303C5">
        <w:rPr>
          <w:rFonts w:ascii="Arial" w:hAnsi="Arial" w:cs="Arial"/>
          <w:color w:val="000000"/>
          <w:sz w:val="24"/>
          <w:szCs w:val="24"/>
          <w:rtl/>
        </w:rPr>
        <w:t xml:space="preserve"> שהוא פטור</w:t>
      </w:r>
      <w:r>
        <w:rPr>
          <w:rFonts w:ascii="Arial" w:hAnsi="Arial" w:cs="Arial" w:hint="cs"/>
          <w:color w:val="000000"/>
          <w:sz w:val="24"/>
          <w:szCs w:val="24"/>
          <w:rtl/>
        </w:rPr>
        <w:t>.</w:t>
      </w:r>
      <w:r w:rsidRPr="004303C5">
        <w:rPr>
          <w:rFonts w:ascii="Arial" w:hAnsi="Arial" w:cs="Arial"/>
          <w:color w:val="000000"/>
          <w:sz w:val="24"/>
          <w:szCs w:val="24"/>
          <w:rtl/>
        </w:rPr>
        <w:t xml:space="preserve"> מה שאין לומר כן בהלקו ע"פ עדותם.</w:t>
      </w:r>
    </w:p>
    <w:p w:rsidR="004303C5" w:rsidRDefault="004303C5" w:rsidP="00C14A52">
      <w:pPr>
        <w:bidi/>
        <w:rPr>
          <w:rStyle w:val="apple-converted-space"/>
          <w:rFonts w:ascii="Arial" w:hAnsi="Arial" w:cs="Arial" w:hint="cs"/>
          <w:color w:val="000000"/>
          <w:sz w:val="24"/>
          <w:szCs w:val="24"/>
          <w:rtl/>
        </w:rPr>
      </w:pPr>
      <w:r w:rsidRPr="004303C5">
        <w:rPr>
          <w:rFonts w:ascii="Arial" w:hAnsi="Arial" w:cs="Arial" w:hint="cs"/>
          <w:color w:val="000000"/>
          <w:sz w:val="24"/>
          <w:szCs w:val="24"/>
          <w:rtl/>
        </w:rPr>
        <w:t xml:space="preserve">[ב] </w:t>
      </w:r>
      <w:r w:rsidRPr="004303C5">
        <w:rPr>
          <w:rFonts w:ascii="Arial" w:hAnsi="Arial" w:cs="Arial"/>
          <w:color w:val="000000"/>
          <w:sz w:val="24"/>
          <w:szCs w:val="24"/>
          <w:rtl/>
        </w:rPr>
        <w:t>ועוד י"ל טעם אחר</w:t>
      </w:r>
      <w:r>
        <w:rPr>
          <w:rFonts w:ascii="Arial" w:hAnsi="Arial" w:cs="Arial" w:hint="cs"/>
          <w:color w:val="000000"/>
          <w:sz w:val="24"/>
          <w:szCs w:val="24"/>
          <w:rtl/>
        </w:rPr>
        <w:t>,</w:t>
      </w:r>
      <w:r w:rsidRPr="004303C5">
        <w:rPr>
          <w:rFonts w:ascii="Arial" w:hAnsi="Arial" w:cs="Arial"/>
          <w:color w:val="000000"/>
          <w:sz w:val="24"/>
          <w:szCs w:val="24"/>
          <w:rtl/>
        </w:rPr>
        <w:t xml:space="preserve"> שמאחר שאלהים נצב בעדת אל</w:t>
      </w:r>
      <w:r>
        <w:rPr>
          <w:rFonts w:ascii="Arial" w:hAnsi="Arial" w:cs="Arial" w:hint="cs"/>
          <w:color w:val="000000"/>
          <w:sz w:val="24"/>
          <w:szCs w:val="24"/>
          <w:rtl/>
        </w:rPr>
        <w:t>,</w:t>
      </w:r>
      <w:r w:rsidRPr="004303C5">
        <w:rPr>
          <w:rFonts w:ascii="Arial" w:hAnsi="Arial" w:cs="Arial"/>
          <w:color w:val="000000"/>
          <w:sz w:val="24"/>
          <w:szCs w:val="24"/>
          <w:rtl/>
        </w:rPr>
        <w:t xml:space="preserve"> אילולא שהיה חייב זה מיתה לא היה מניח הקב"ה להסכים שתאבד נפש אחת מישראל</w:t>
      </w:r>
      <w:r>
        <w:rPr>
          <w:rFonts w:ascii="Arial" w:hAnsi="Arial" w:cs="Arial" w:hint="cs"/>
          <w:color w:val="000000"/>
          <w:sz w:val="24"/>
          <w:szCs w:val="24"/>
          <w:rtl/>
        </w:rPr>
        <w:t>.</w:t>
      </w:r>
      <w:r w:rsidRPr="004303C5">
        <w:rPr>
          <w:rFonts w:ascii="Arial" w:hAnsi="Arial" w:cs="Arial"/>
          <w:color w:val="000000"/>
          <w:sz w:val="24"/>
          <w:szCs w:val="24"/>
          <w:rtl/>
        </w:rPr>
        <w:t xml:space="preserve"> ומאחר שהניח הקב"ה לב"ד שיסכימו להרוג את זה ונהרג</w:t>
      </w:r>
      <w:r>
        <w:rPr>
          <w:rFonts w:ascii="Arial" w:hAnsi="Arial" w:cs="Arial" w:hint="cs"/>
          <w:color w:val="000000"/>
          <w:sz w:val="24"/>
          <w:szCs w:val="24"/>
          <w:rtl/>
        </w:rPr>
        <w:t>,</w:t>
      </w:r>
      <w:r w:rsidRPr="004303C5">
        <w:rPr>
          <w:rFonts w:ascii="Arial" w:hAnsi="Arial" w:cs="Arial"/>
          <w:color w:val="000000"/>
          <w:sz w:val="24"/>
          <w:szCs w:val="24"/>
          <w:rtl/>
        </w:rPr>
        <w:t xml:space="preserve"> חייב מיתה היה</w:t>
      </w:r>
      <w:r>
        <w:rPr>
          <w:rFonts w:ascii="Arial" w:hAnsi="Arial" w:cs="Arial" w:hint="cs"/>
          <w:color w:val="000000"/>
          <w:sz w:val="24"/>
          <w:szCs w:val="24"/>
          <w:rtl/>
        </w:rPr>
        <w:t>.</w:t>
      </w:r>
      <w:r w:rsidRPr="004303C5">
        <w:rPr>
          <w:rFonts w:ascii="Arial" w:hAnsi="Arial" w:cs="Arial"/>
          <w:color w:val="000000"/>
          <w:sz w:val="24"/>
          <w:szCs w:val="24"/>
          <w:rtl/>
        </w:rPr>
        <w:t xml:space="preserve"> הילכך אין לעדים משפט מות</w:t>
      </w:r>
      <w:r>
        <w:rPr>
          <w:rFonts w:ascii="Arial" w:hAnsi="Arial" w:cs="Arial" w:hint="cs"/>
          <w:color w:val="000000"/>
          <w:sz w:val="24"/>
          <w:szCs w:val="24"/>
          <w:rtl/>
        </w:rPr>
        <w:t>.</w:t>
      </w:r>
      <w:r w:rsidRPr="004303C5">
        <w:rPr>
          <w:rFonts w:ascii="Arial" w:hAnsi="Arial" w:cs="Arial"/>
          <w:color w:val="000000"/>
          <w:sz w:val="24"/>
          <w:szCs w:val="24"/>
          <w:rtl/>
        </w:rPr>
        <w:t xml:space="preserve"> מה שאין לומר כן במלקות</w:t>
      </w:r>
      <w:r w:rsidRPr="004303C5">
        <w:rPr>
          <w:rFonts w:ascii="Arial" w:hAnsi="Arial" w:cs="Arial"/>
          <w:color w:val="000000"/>
          <w:sz w:val="24"/>
          <w:szCs w:val="24"/>
        </w:rPr>
        <w:t>:</w:t>
      </w:r>
      <w:r w:rsidRPr="004303C5">
        <w:rPr>
          <w:rStyle w:val="apple-converted-space"/>
          <w:rFonts w:ascii="Arial" w:hAnsi="Arial" w:cs="Arial"/>
          <w:color w:val="000000"/>
          <w:sz w:val="24"/>
          <w:szCs w:val="24"/>
        </w:rPr>
        <w:t> </w:t>
      </w:r>
    </w:p>
    <w:p w:rsidR="00C14A52" w:rsidRPr="00C14A52" w:rsidRDefault="00C14A52" w:rsidP="00C14A52">
      <w:pPr>
        <w:shd w:val="clear" w:color="auto" w:fill="FFFFFF"/>
        <w:spacing w:after="0" w:line="240" w:lineRule="auto"/>
        <w:rPr>
          <w:rFonts w:ascii="Arial" w:eastAsia="Times New Roman" w:hAnsi="Arial" w:cs="Arial"/>
          <w:b/>
          <w:bCs/>
          <w:color w:val="000000"/>
        </w:rPr>
      </w:pPr>
      <w:proofErr w:type="spellStart"/>
      <w:r w:rsidRPr="00C14A52">
        <w:rPr>
          <w:rFonts w:ascii="Arial" w:hAnsi="Arial" w:cs="Arial"/>
          <w:b/>
          <w:bCs/>
          <w:shd w:val="clear" w:color="auto" w:fill="FFFFFF"/>
        </w:rPr>
        <w:t>Edut</w:t>
      </w:r>
      <w:proofErr w:type="spellEnd"/>
      <w:r w:rsidRPr="00C14A52">
        <w:rPr>
          <w:rFonts w:ascii="Arial" w:hAnsi="Arial" w:cs="Arial"/>
          <w:b/>
          <w:bCs/>
          <w:shd w:val="clear" w:color="auto" w:fill="FFFFFF"/>
        </w:rPr>
        <w:t xml:space="preserve"> - Chapter 20 - </w:t>
      </w:r>
      <w:proofErr w:type="spellStart"/>
      <w:r w:rsidRPr="00C14A52">
        <w:rPr>
          <w:rFonts w:ascii="Arial" w:eastAsia="Times New Roman" w:hAnsi="Arial" w:cs="Arial"/>
          <w:b/>
          <w:bCs/>
          <w:color w:val="000000"/>
        </w:rPr>
        <w:t>Halacha</w:t>
      </w:r>
      <w:proofErr w:type="spellEnd"/>
      <w:r w:rsidRPr="00C14A52">
        <w:rPr>
          <w:rFonts w:ascii="Arial" w:eastAsia="Times New Roman" w:hAnsi="Arial" w:cs="Arial"/>
          <w:b/>
          <w:bCs/>
          <w:color w:val="000000"/>
        </w:rPr>
        <w:t xml:space="preserve"> 2</w:t>
      </w:r>
    </w:p>
    <w:p w:rsidR="00C14A52" w:rsidRPr="00C14A52" w:rsidRDefault="00C14A52" w:rsidP="00C14A52">
      <w:pPr>
        <w:shd w:val="clear" w:color="auto" w:fill="FFFFFF"/>
        <w:spacing w:after="240" w:line="378" w:lineRule="atLeast"/>
        <w:rPr>
          <w:rFonts w:ascii="Arial" w:eastAsia="Times New Roman" w:hAnsi="Arial" w:cs="Arial"/>
          <w:color w:val="000000"/>
          <w:sz w:val="21"/>
          <w:szCs w:val="21"/>
        </w:rPr>
      </w:pPr>
      <w:r w:rsidRPr="00C14A52">
        <w:rPr>
          <w:rFonts w:ascii="Arial" w:eastAsia="Times New Roman" w:hAnsi="Arial" w:cs="Arial"/>
          <w:color w:val="000000"/>
          <w:sz w:val="21"/>
          <w:szCs w:val="21"/>
        </w:rPr>
        <w:t>Although according to Talmudic logic one might differ, if the person against whom they testified was executed and then they were disqualified through</w:t>
      </w:r>
      <w:r>
        <w:rPr>
          <w:rFonts w:ascii="Arial" w:eastAsia="Times New Roman" w:hAnsi="Arial" w:cs="Arial"/>
          <w:color w:val="000000"/>
          <w:sz w:val="21"/>
          <w:szCs w:val="21"/>
        </w:rPr>
        <w:t xml:space="preserve"> </w:t>
      </w:r>
      <w:proofErr w:type="spellStart"/>
      <w:r w:rsidRPr="00C14A52">
        <w:rPr>
          <w:rFonts w:ascii="Arial" w:eastAsia="Times New Roman" w:hAnsi="Arial" w:cs="Arial"/>
          <w:i/>
          <w:iCs/>
          <w:color w:val="000000"/>
          <w:sz w:val="21"/>
          <w:szCs w:val="21"/>
        </w:rPr>
        <w:t>hazamah</w:t>
      </w:r>
      <w:proofErr w:type="spellEnd"/>
      <w:r w:rsidRPr="00C14A52">
        <w:rPr>
          <w:rFonts w:ascii="Arial" w:eastAsia="Times New Roman" w:hAnsi="Arial" w:cs="Arial"/>
          <w:color w:val="000000"/>
          <w:sz w:val="21"/>
          <w:szCs w:val="21"/>
        </w:rPr>
        <w:t>, they are not executed. This is derived from</w:t>
      </w:r>
      <w:r w:rsidRPr="00C14A52">
        <w:rPr>
          <w:rFonts w:ascii="Arial" w:eastAsia="Times New Roman" w:hAnsi="Arial" w:cs="Arial"/>
          <w:color w:val="000000"/>
          <w:sz w:val="21"/>
        </w:rPr>
        <w:t> </w:t>
      </w:r>
      <w:hyperlink r:id="rId5" w:anchor="v19" w:history="1">
        <w:r w:rsidRPr="00C14A52">
          <w:rPr>
            <w:rFonts w:ascii="Arial" w:eastAsia="Times New Roman" w:hAnsi="Arial" w:cs="Arial"/>
            <w:color w:val="0000FF"/>
            <w:sz w:val="21"/>
            <w:u w:val="single"/>
          </w:rPr>
          <w:t>Deuteronomy 19:19</w:t>
        </w:r>
      </w:hyperlink>
      <w:r w:rsidRPr="00C14A52">
        <w:rPr>
          <w:rFonts w:ascii="Arial" w:eastAsia="Times New Roman" w:hAnsi="Arial" w:cs="Arial"/>
          <w:color w:val="000000"/>
          <w:sz w:val="21"/>
          <w:szCs w:val="21"/>
        </w:rPr>
        <w:t>: which speaks of: 'what they conspired to do.' Implied is that it was not already done. This rule is part of the Oral Tradition.</w:t>
      </w:r>
    </w:p>
    <w:p w:rsidR="00C14A52" w:rsidRPr="00C14A52" w:rsidRDefault="00C14A52" w:rsidP="00C14A52">
      <w:pPr>
        <w:shd w:val="clear" w:color="auto" w:fill="FFFFFF"/>
        <w:spacing w:after="240" w:line="378" w:lineRule="atLeast"/>
        <w:rPr>
          <w:rFonts w:ascii="Arial" w:eastAsia="Times New Roman" w:hAnsi="Arial" w:cs="Arial"/>
          <w:color w:val="000000"/>
          <w:sz w:val="21"/>
          <w:szCs w:val="21"/>
        </w:rPr>
      </w:pPr>
      <w:r w:rsidRPr="00C14A52">
        <w:rPr>
          <w:rFonts w:ascii="Arial" w:eastAsia="Times New Roman" w:hAnsi="Arial" w:cs="Arial"/>
          <w:color w:val="000000"/>
          <w:sz w:val="21"/>
          <w:szCs w:val="21"/>
        </w:rPr>
        <w:t>If, however, the person against whom they testified was lashed, they are lashed. Similarly, if money was expropriated from one person and given to another, it is returned to its owner and the witnesses are required to pay the penalty.</w:t>
      </w:r>
    </w:p>
    <w:p w:rsidR="004303C5" w:rsidRDefault="00C14A52" w:rsidP="00C14A52">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Note:  The </w:t>
      </w:r>
      <w:proofErr w:type="spellStart"/>
      <w:r>
        <w:rPr>
          <w:rFonts w:ascii="Arial" w:hAnsi="Arial" w:cs="Arial"/>
          <w:color w:val="000000"/>
          <w:sz w:val="21"/>
          <w:szCs w:val="21"/>
          <w:shd w:val="clear" w:color="auto" w:fill="FFFFFF"/>
        </w:rPr>
        <w:t>Ra'avad</w:t>
      </w:r>
      <w:proofErr w:type="spellEnd"/>
      <w:r>
        <w:rPr>
          <w:rFonts w:ascii="Arial" w:hAnsi="Arial" w:cs="Arial"/>
          <w:color w:val="000000"/>
          <w:sz w:val="21"/>
          <w:szCs w:val="21"/>
          <w:shd w:val="clear" w:color="auto" w:fill="FFFFFF"/>
        </w:rPr>
        <w:t xml:space="preserve"> and the</w:t>
      </w:r>
      <w:r>
        <w:rPr>
          <w:rStyle w:val="apple-converted-space"/>
          <w:rFonts w:ascii="Arial" w:hAnsi="Arial" w:cs="Arial"/>
          <w:color w:val="000000"/>
          <w:sz w:val="21"/>
          <w:szCs w:val="21"/>
          <w:shd w:val="clear" w:color="auto" w:fill="FFFFFF"/>
        </w:rPr>
        <w:t> </w:t>
      </w:r>
      <w:proofErr w:type="spellStart"/>
      <w:r>
        <w:rPr>
          <w:rFonts w:ascii="Arial" w:hAnsi="Arial" w:cs="Arial"/>
          <w:i/>
          <w:iCs/>
          <w:color w:val="000000"/>
          <w:sz w:val="21"/>
          <w:szCs w:val="21"/>
          <w:shd w:val="clear" w:color="auto" w:fill="FFFFFF"/>
        </w:rPr>
        <w:t>Kessef</w:t>
      </w:r>
      <w:proofErr w:type="spellEnd"/>
      <w:r>
        <w:rPr>
          <w:rFonts w:ascii="Arial" w:hAnsi="Arial" w:cs="Arial"/>
          <w:i/>
          <w:iCs/>
          <w:color w:val="000000"/>
          <w:sz w:val="21"/>
          <w:szCs w:val="21"/>
          <w:shd w:val="clear" w:color="auto" w:fill="FFFFFF"/>
        </w:rPr>
        <w:t xml:space="preserve"> </w:t>
      </w:r>
      <w:proofErr w:type="spellStart"/>
      <w:r>
        <w:rPr>
          <w:rFonts w:ascii="Arial" w:hAnsi="Arial" w:cs="Arial"/>
          <w:i/>
          <w:iCs/>
          <w:color w:val="000000"/>
          <w:sz w:val="21"/>
          <w:szCs w:val="21"/>
          <w:shd w:val="clear" w:color="auto" w:fill="FFFFFF"/>
        </w:rPr>
        <w:t>Mishneh</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 xml:space="preserve">question the </w:t>
      </w:r>
      <w:proofErr w:type="spellStart"/>
      <w:r>
        <w:rPr>
          <w:rFonts w:ascii="Arial" w:hAnsi="Arial" w:cs="Arial"/>
          <w:color w:val="000000"/>
          <w:sz w:val="21"/>
          <w:szCs w:val="21"/>
          <w:shd w:val="clear" w:color="auto" w:fill="FFFFFF"/>
        </w:rPr>
        <w:t>Rambam's</w:t>
      </w:r>
      <w:proofErr w:type="spellEnd"/>
      <w:r>
        <w:rPr>
          <w:rFonts w:ascii="Arial" w:hAnsi="Arial" w:cs="Arial"/>
          <w:color w:val="000000"/>
          <w:sz w:val="21"/>
          <w:szCs w:val="21"/>
          <w:shd w:val="clear" w:color="auto" w:fill="FFFFFF"/>
        </w:rPr>
        <w:t xml:space="preserve"> source for this distinction. The</w:t>
      </w:r>
      <w:r>
        <w:rPr>
          <w:rStyle w:val="apple-converted-space"/>
          <w:rFonts w:ascii="Arial" w:hAnsi="Arial" w:cs="Arial"/>
          <w:color w:val="000000"/>
          <w:sz w:val="21"/>
          <w:szCs w:val="21"/>
          <w:shd w:val="clear" w:color="auto" w:fill="FFFFFF"/>
        </w:rPr>
        <w:t> </w:t>
      </w:r>
      <w:proofErr w:type="spellStart"/>
      <w:r>
        <w:rPr>
          <w:rFonts w:ascii="Arial" w:hAnsi="Arial" w:cs="Arial"/>
          <w:i/>
          <w:iCs/>
          <w:color w:val="000000"/>
          <w:sz w:val="21"/>
          <w:szCs w:val="21"/>
          <w:shd w:val="clear" w:color="auto" w:fill="FFFFFF"/>
        </w:rPr>
        <w:t>Kessef</w:t>
      </w:r>
      <w:proofErr w:type="spellEnd"/>
      <w:r>
        <w:rPr>
          <w:rFonts w:ascii="Arial" w:hAnsi="Arial" w:cs="Arial"/>
          <w:i/>
          <w:iCs/>
          <w:color w:val="000000"/>
          <w:sz w:val="21"/>
          <w:szCs w:val="21"/>
          <w:shd w:val="clear" w:color="auto" w:fill="FFFFFF"/>
        </w:rPr>
        <w:t xml:space="preserve"> </w:t>
      </w:r>
      <w:proofErr w:type="spellStart"/>
      <w:r>
        <w:rPr>
          <w:rFonts w:ascii="Arial" w:hAnsi="Arial" w:cs="Arial"/>
          <w:i/>
          <w:iCs/>
          <w:color w:val="000000"/>
          <w:sz w:val="21"/>
          <w:szCs w:val="21"/>
          <w:shd w:val="clear" w:color="auto" w:fill="FFFFFF"/>
        </w:rPr>
        <w:t>Mishneh</w:t>
      </w:r>
      <w:proofErr w:type="spellEnd"/>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explains that it is possible to say that since judgment is ultimately in God's hands, had the executed party not been guilty, God would not have allowed him to be executed. Hence the lying witnesses need not be punished. Alternatively, he can be explained that the punishments inflicted by the courts are not goals in their own right, but means to bring a person to atonement. It is not fitting to give lying witnesses who had a person executed the opportunity to achieve such atonement. Since lashes are not as severe a punishment, neither of these explanations applies.</w:t>
      </w:r>
    </w:p>
    <w:p w:rsidR="00297252" w:rsidRDefault="00297252" w:rsidP="00C14A52">
      <w:pPr>
        <w:rPr>
          <w:rStyle w:val="apple-converted-space"/>
          <w:rFonts w:ascii="Arial" w:hAnsi="Arial" w:cs="Arial" w:hint="cs"/>
          <w:color w:val="000000"/>
          <w:sz w:val="24"/>
          <w:szCs w:val="24"/>
          <w:rtl/>
        </w:rPr>
      </w:pPr>
    </w:p>
    <w:sectPr w:rsidR="00297252" w:rsidSect="00CF04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03C5"/>
    <w:rsid w:val="00297252"/>
    <w:rsid w:val="004303C5"/>
    <w:rsid w:val="00BA5474"/>
    <w:rsid w:val="00C14A52"/>
    <w:rsid w:val="00CF048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4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ve">
    <w:name w:val="five"/>
    <w:basedOn w:val="DefaultParagraphFont"/>
    <w:rsid w:val="004303C5"/>
  </w:style>
  <w:style w:type="character" w:customStyle="1" w:styleId="apple-converted-space">
    <w:name w:val="apple-converted-space"/>
    <w:basedOn w:val="DefaultParagraphFont"/>
    <w:rsid w:val="004303C5"/>
  </w:style>
  <w:style w:type="character" w:customStyle="1" w:styleId="sefername">
    <w:name w:val="sefername"/>
    <w:basedOn w:val="DefaultParagraphFont"/>
    <w:rsid w:val="004303C5"/>
  </w:style>
  <w:style w:type="paragraph" w:styleId="NormalWeb">
    <w:name w:val="Normal (Web)"/>
    <w:basedOn w:val="Normal"/>
    <w:uiPriority w:val="99"/>
    <w:semiHidden/>
    <w:unhideWhenUsed/>
    <w:rsid w:val="00C14A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4A52"/>
    <w:rPr>
      <w:color w:val="0000FF"/>
      <w:u w:val="single"/>
    </w:rPr>
  </w:style>
</w:styles>
</file>

<file path=word/webSettings.xml><?xml version="1.0" encoding="utf-8"?>
<w:webSettings xmlns:r="http://schemas.openxmlformats.org/officeDocument/2006/relationships" xmlns:w="http://schemas.openxmlformats.org/wordprocessingml/2006/main">
  <w:divs>
    <w:div w:id="285235701">
      <w:bodyDiv w:val="1"/>
      <w:marLeft w:val="0"/>
      <w:marRight w:val="0"/>
      <w:marTop w:val="0"/>
      <w:marBottom w:val="0"/>
      <w:divBdr>
        <w:top w:val="none" w:sz="0" w:space="0" w:color="auto"/>
        <w:left w:val="none" w:sz="0" w:space="0" w:color="auto"/>
        <w:bottom w:val="none" w:sz="0" w:space="0" w:color="auto"/>
        <w:right w:val="none" w:sz="0" w:space="0" w:color="auto"/>
      </w:divBdr>
      <w:divsChild>
        <w:div w:id="1713338690">
          <w:marLeft w:val="0"/>
          <w:marRight w:val="0"/>
          <w:marTop w:val="30"/>
          <w:marBottom w:val="0"/>
          <w:divBdr>
            <w:top w:val="single" w:sz="6" w:space="0" w:color="834323"/>
            <w:left w:val="none" w:sz="0" w:space="0" w:color="auto"/>
            <w:bottom w:val="none" w:sz="0" w:space="0" w:color="auto"/>
            <w:right w:val="none" w:sz="0" w:space="0" w:color="auto"/>
          </w:divBdr>
        </w:div>
      </w:divsChild>
    </w:div>
    <w:div w:id="1614094944">
      <w:bodyDiv w:val="1"/>
      <w:marLeft w:val="0"/>
      <w:marRight w:val="0"/>
      <w:marTop w:val="0"/>
      <w:marBottom w:val="0"/>
      <w:divBdr>
        <w:top w:val="none" w:sz="0" w:space="0" w:color="auto"/>
        <w:left w:val="none" w:sz="0" w:space="0" w:color="auto"/>
        <w:bottom w:val="none" w:sz="0" w:space="0" w:color="auto"/>
        <w:right w:val="none" w:sz="0" w:space="0" w:color="auto"/>
      </w:divBdr>
      <w:divsChild>
        <w:div w:id="488324329">
          <w:marLeft w:val="0"/>
          <w:marRight w:val="0"/>
          <w:marTop w:val="30"/>
          <w:marBottom w:val="0"/>
          <w:divBdr>
            <w:top w:val="single" w:sz="6" w:space="0" w:color="834323"/>
            <w:left w:val="none" w:sz="0" w:space="0" w:color="auto"/>
            <w:bottom w:val="none" w:sz="0" w:space="0" w:color="auto"/>
            <w:right w:val="none" w:sz="0" w:space="0" w:color="auto"/>
          </w:divBdr>
        </w:div>
      </w:divsChild>
    </w:div>
    <w:div w:id="197285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abad.org/9983" TargetMode="External"/><Relationship Id="rId4" Type="http://schemas.openxmlformats.org/officeDocument/2006/relationships/hyperlink" Target="http://beta.hebrewbooks.org/14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2014-07-22T20:51:00Z</cp:lastPrinted>
  <dcterms:created xsi:type="dcterms:W3CDTF">2014-07-22T19:38:00Z</dcterms:created>
  <dcterms:modified xsi:type="dcterms:W3CDTF">2014-07-22T21:14:00Z</dcterms:modified>
</cp:coreProperties>
</file>